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Workshopping Proposals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Engage participants in focused small-group dialogue to stress-test ideas, generate recommendations, and build shared ownership of next steps—through structured roles, prompts, and transparent synthesis.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before="240" w:line="256.7994545454545" w:lineRule="auto"/>
        <w:jc w:val="both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when you want participants to actively engage with a proposal, idea, or challenge and generate feedback, insights, or recommendations. This tactic works best when the goal is to sharpen concepts, surface risks and opportunities, and build shared ownership for next steps.</w:t>
      </w:r>
    </w:p>
    <w:p w:rsidR="00000000" w:rsidDel="00000000" w:rsidP="00000000" w:rsidRDefault="00000000" w:rsidRPr="00000000" w14:paraId="00000005">
      <w:pPr>
        <w:spacing w:after="20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 (30 minutes) | Review &amp; Discuss</w:t>
      </w:r>
    </w:p>
    <w:p w:rsidR="00000000" w:rsidDel="00000000" w:rsidP="00000000" w:rsidRDefault="00000000" w:rsidRPr="00000000" w14:paraId="00000007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are pre-assigned into small groups based on stakeholder type or cross-functional diversity. A pre-briefed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discussion lead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frames the purpose of the session (e.g., critique, ideation, or refinement). Participants are given 5 - 10 minutes to silently review the proposal or concept on the table. Check in with participants to ensure they’ve absorbed the material, before shifting into plenary discussion. </w:t>
      </w:r>
    </w:p>
    <w:p w:rsidR="00000000" w:rsidDel="00000000" w:rsidP="00000000" w:rsidRDefault="00000000" w:rsidRPr="00000000" w14:paraId="00000008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The discussion lead then guides a focused dialogue using pre-selected prompts, such as: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opportunities does this proposal present?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risks or uncertainties are on your mind?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Why might this not work—and what would it take to address that?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Who else needs to be involved for success?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resources would this require to implement well?</w:t>
      </w:r>
    </w:p>
    <w:p w:rsidR="00000000" w:rsidDel="00000000" w:rsidP="00000000" w:rsidRDefault="00000000" w:rsidRPr="00000000" w14:paraId="0000000E">
      <w:pPr>
        <w:spacing w:after="0" w:before="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(20 minutes) | Produce &amp; Prepare to Share</w:t>
      </w:r>
    </w:p>
    <w:p w:rsidR="00000000" w:rsidDel="00000000" w:rsidP="00000000" w:rsidRDefault="00000000" w:rsidRPr="00000000" w14:paraId="0000000F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 self-nominated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scribe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captures key takeaways using a provided worksheet or digital template—these may include recommendations, questions, tensions, or insights. With 10 minutes remaining, a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reporter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prepares 2–3 headlines that summarize the group’s most important contributions or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(20–30 minutes) | Whole-Group Synthesis</w:t>
      </w:r>
    </w:p>
    <w:p w:rsidR="00000000" w:rsidDel="00000000" w:rsidP="00000000" w:rsidRDefault="00000000" w:rsidRPr="00000000" w14:paraId="00000011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Groups return to plenary and each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reporter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shares their headlines. The facilitator synthesizes areas of convergence, divergence, and open questions using language like: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“Across the groups, we heard alignment around ___ and ___.”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“We surfaced two different perspectives on ___ that we may need to reconcile.”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“Here are the open questions that remain unresolved: ___.”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0" w:right="0" w:firstLine="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participants to clarify, expand, or challenge the synthesis to ensure shared understanding.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after="200" w:before="28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before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Prep your discussion leads.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Brief them in advance and give them a facilitation cheat sheet to help manage time and guide the conversation.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Be specific about group roles.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Ensure groups have assigned a lead, scribe, time-keeper, and reporter before the session begins.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Use a clear template.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Provide a simple, structured tool for capturing insights—this ensures consistent reporting and helps with synthesis later.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Seed strong prompts.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Tailor guiding questions to the phase of the work (e.g., exploration vs. decision-making) to keep groups on task and oriented toward outcomes.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/>
        <w:drawing>
          <wp:inline distB="114300" distT="114300" distL="114300" distR="114300">
            <wp:extent cx="6891338" cy="8911885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91338" cy="89118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